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rebuchet MS" w:ascii="Trebuchet MS" w:hAnsi="Trebuchet MS"/>
          <w:b/>
          <w:color w:val="002060"/>
          <w:szCs w:val="24"/>
          <w:lang w:val="en-TR" w:eastAsia="en-TR"/>
        </w:rPr>
        <w:t>@YEDİTEPE ÜNİVERSİTESİ</w:t>
      </w:r>
    </w:p>
    <w:p>
      <w:pPr>
        <w:pStyle w:val="Normal"/>
        <w:jc w:val="center"/>
        <w:rPr/>
      </w:pPr>
      <w:r>
        <w:rPr>
          <w:rFonts w:cs="Arial" w:ascii="Trebuchet MS" w:hAnsi="Trebuchet MS"/>
          <w:b/>
          <w:bCs/>
          <w:color w:val="00B050"/>
          <w:szCs w:val="24"/>
          <w:lang w:val="en-TR" w:eastAsia="en-TR"/>
        </w:rPr>
        <w:t>2021-2022</w:t>
      </w:r>
      <w:r>
        <w:rPr>
          <w:rFonts w:cs="Arial" w:ascii="Trebuchet MS" w:hAnsi="Trebuchet MS"/>
          <w:b/>
          <w:bCs/>
          <w:color w:val="002060"/>
          <w:szCs w:val="24"/>
          <w:lang w:val="en-TR" w:eastAsia="en-TR"/>
        </w:rPr>
        <w:t xml:space="preserve"> ÖĞRETİM YILI </w:t>
      </w:r>
      <w:r>
        <w:rPr>
          <w:rFonts w:cs="Arial" w:ascii="Trebuchet MS" w:hAnsi="Trebuchet MS"/>
          <w:b/>
          <w:bCs/>
          <w:color w:val="00B050"/>
          <w:szCs w:val="24"/>
          <w:lang w:val="en-US" w:eastAsia="en-TR"/>
        </w:rPr>
        <w:t>BAHAR</w:t>
      </w:r>
      <w:r>
        <w:rPr>
          <w:rFonts w:cs="Arial" w:ascii="Trebuchet MS" w:hAnsi="Trebuchet MS"/>
          <w:b/>
          <w:bCs/>
          <w:color w:val="002060"/>
          <w:szCs w:val="24"/>
          <w:lang w:val="en-TR" w:eastAsia="en-TR"/>
        </w:rPr>
        <w:t xml:space="preserve"> YARIYILI</w:t>
      </w:r>
    </w:p>
    <w:p>
      <w:pPr>
        <w:pStyle w:val="Normal"/>
        <w:jc w:val="center"/>
        <w:rPr>
          <w:rFonts w:ascii="Trebuchet MS" w:hAnsi="Trebuchet MS" w:cs="Arial"/>
          <w:b/>
          <w:b/>
          <w:bCs/>
          <w:color w:val="002060"/>
          <w:szCs w:val="24"/>
          <w:lang w:val="en-TR" w:eastAsia="en-TR"/>
        </w:rPr>
      </w:pPr>
      <w:r>
        <w:rPr>
          <w:rFonts w:cs="Arial" w:ascii="Trebuchet MS" w:hAnsi="Trebuchet MS"/>
          <w:b/>
          <w:bCs/>
          <w:color w:val="00B050"/>
          <w:szCs w:val="24"/>
          <w:lang w:val="en-TR" w:eastAsia="en-TR"/>
        </w:rPr>
        <w:t>KURUMİÇİ</w:t>
      </w:r>
      <w:r>
        <w:rPr>
          <w:rFonts w:cs="Arial" w:ascii="Trebuchet MS" w:hAnsi="Trebuchet MS"/>
          <w:b/>
          <w:bCs/>
          <w:color w:val="002060"/>
          <w:szCs w:val="24"/>
          <w:lang w:val="en-TR" w:eastAsia="en-TR"/>
        </w:rPr>
        <w:t xml:space="preserve"> YATAY GEÇİŞ TEMEL İLKE VE KURALLARI</w:t>
      </w:r>
    </w:p>
    <w:p>
      <w:pPr>
        <w:pStyle w:val="Normal"/>
        <w:spacing w:before="100" w:after="0"/>
        <w:rPr>
          <w:rFonts w:ascii="Trebuchet MS" w:hAnsi="Trebuchet MS" w:cs="Arial"/>
          <w:color w:val="002060"/>
          <w:sz w:val="22"/>
          <w:szCs w:val="22"/>
          <w:lang w:val="en-TR" w:eastAsia="en-TR"/>
        </w:rPr>
      </w:pPr>
      <w:r>
        <w:rPr>
          <w:rFonts w:cs="Arial" w:ascii="Trebuchet MS" w:hAnsi="Trebuchet MS"/>
          <w:b/>
          <w:bCs/>
          <w:color w:val="002060"/>
          <w:sz w:val="22"/>
          <w:szCs w:val="22"/>
          <w:lang w:val="en-TR" w:eastAsia="en-TR"/>
        </w:rPr>
        <w:t xml:space="preserve">Genel Kurallar </w:t>
      </w:r>
    </w:p>
    <w:p>
      <w:pPr>
        <w:pStyle w:val="Normal"/>
        <w:numPr>
          <w:ilvl w:val="0"/>
          <w:numId w:val="1"/>
        </w:numPr>
        <w:spacing w:before="60" w:after="0"/>
        <w:ind w:left="357" w:hanging="357"/>
        <w:jc w:val="both"/>
        <w:rPr>
          <w:rFonts w:ascii="Trebuchet MS" w:hAnsi="Trebuchet MS" w:cs="Arial"/>
          <w:strike/>
          <w:color w:val="002060"/>
          <w:sz w:val="20"/>
          <w:szCs w:val="20"/>
          <w:lang w:val="en-TR" w:eastAsia="en-TR"/>
        </w:rPr>
      </w:pP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Kurumiçi yatay geçişler, üniversite bünyesinde yer alan herhangi bir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programa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 yapılabilir.</w:t>
      </w:r>
    </w:p>
    <w:p>
      <w:pPr>
        <w:pStyle w:val="Normal"/>
        <w:numPr>
          <w:ilvl w:val="0"/>
          <w:numId w:val="1"/>
        </w:numPr>
        <w:spacing w:before="6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Lisans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 programlarının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ilk iki yarıyıl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ı ile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son iki yarıyıl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ına;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önlisans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 programlarının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ilk yarıyılı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 ile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son yarıyılı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na yatay geçiş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yapılamaz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>.</w:t>
      </w:r>
    </w:p>
    <w:p>
      <w:pPr>
        <w:pStyle w:val="Normal"/>
        <w:numPr>
          <w:ilvl w:val="0"/>
          <w:numId w:val="1"/>
        </w:numPr>
        <w:spacing w:before="60" w:after="0"/>
        <w:ind w:left="357" w:hanging="357"/>
        <w:jc w:val="both"/>
        <w:rPr>
          <w:rFonts w:ascii="Trebuchet MS" w:hAnsi="Trebuchet MS" w:cs="Arial"/>
          <w:color w:val="002060"/>
          <w:sz w:val="22"/>
          <w:szCs w:val="22"/>
          <w:lang w:val="en-TR" w:eastAsia="en-TR"/>
        </w:rPr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Lisans/Önlisans programları arasında yatay geçiş başvurusu yapılabilmesi için, öğrencinin merkezi sınava girdiği yıl itibarıyla geçmek istediği lisans/önlisans programı için geçerli olan puan türünde aldığı merkezi yerleştirme puanının, geçmek istediği lisans/önlisans programına eşdeğer yurtiçindeki diğer üniversitelerin lisans/önlisans programlarının </w:t>
      </w: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en düşük puan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>ından az olmaması şartı aranır.</w:t>
      </w:r>
    </w:p>
    <w:p>
      <w:pPr>
        <w:pStyle w:val="Normal"/>
        <w:numPr>
          <w:ilvl w:val="0"/>
          <w:numId w:val="1"/>
        </w:numPr>
        <w:spacing w:before="100" w:after="0"/>
        <w:jc w:val="both"/>
        <w:rPr/>
      </w:pP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 xml:space="preserve">Hukuk 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Fakültesi için </w:t>
      </w:r>
    </w:p>
    <w:p>
      <w:pPr>
        <w:pStyle w:val="Normal"/>
        <w:ind w:left="706" w:hanging="0"/>
        <w:jc w:val="both"/>
        <w:rPr>
          <w:rFonts w:ascii="Trebuchet MS" w:hAnsi="Trebuchet MS" w:cs="Trebuchet MS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2015, 2016 ve 2017 ÖSYS’de en düşük </w:t>
      </w: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150 000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’inci </w:t>
      </w:r>
    </w:p>
    <w:p>
      <w:pPr>
        <w:pStyle w:val="Normal"/>
        <w:ind w:left="706" w:hanging="0"/>
        <w:jc w:val="both"/>
        <w:rPr/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2018, 2019 YKS’de en düşük </w:t>
      </w: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190 000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’inci </w:t>
      </w:r>
    </w:p>
    <w:p>
      <w:pPr>
        <w:pStyle w:val="Normal"/>
        <w:ind w:left="706" w:hanging="0"/>
        <w:jc w:val="both"/>
        <w:rPr>
          <w:rFonts w:ascii="Trebuchet MS" w:hAnsi="Trebuchet MS" w:cs="Trebuchet MS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2020 YKS’de en düşük </w:t>
      </w: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125 000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’inci </w:t>
      </w:r>
    </w:p>
    <w:p>
      <w:pPr>
        <w:pStyle w:val="Normal"/>
        <w:tabs>
          <w:tab w:val="clear" w:pos="708"/>
          <w:tab w:val="left" w:pos="360" w:leader="none"/>
        </w:tabs>
        <w:spacing w:before="20" w:after="0"/>
        <w:jc w:val="both"/>
        <w:rPr>
          <w:rFonts w:ascii="Trebuchet MS" w:hAnsi="Trebuchet MS" w:cs="Trebuchet MS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ab/>
        <w:t>Mimarlık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 programları için </w:t>
      </w:r>
    </w:p>
    <w:p>
      <w:pPr>
        <w:pStyle w:val="Normal"/>
        <w:ind w:left="706" w:hanging="0"/>
        <w:jc w:val="both"/>
        <w:rPr/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2016 ve 2017 ÖSYS’de en düşük </w:t>
      </w: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200 000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’inci </w:t>
      </w:r>
    </w:p>
    <w:p>
      <w:pPr>
        <w:pStyle w:val="Normal"/>
        <w:ind w:left="706" w:hanging="0"/>
        <w:jc w:val="both"/>
        <w:rPr>
          <w:rFonts w:ascii="Trebuchet MS" w:hAnsi="Trebuchet MS" w:cs="Trebuchet MS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2018, 2019, 2020 YKS’de en düşük </w:t>
      </w: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250 000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’inci </w:t>
      </w:r>
    </w:p>
    <w:p>
      <w:pPr>
        <w:pStyle w:val="Normal"/>
        <w:tabs>
          <w:tab w:val="clear" w:pos="708"/>
          <w:tab w:val="left" w:pos="360" w:leader="none"/>
        </w:tabs>
        <w:spacing w:before="20" w:after="0"/>
        <w:jc w:val="both"/>
        <w:rPr>
          <w:rFonts w:ascii="Trebuchet MS" w:hAnsi="Trebuchet MS" w:cs="Trebuchet MS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ab/>
        <w:t>Mühendislik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 programları için </w:t>
      </w:r>
    </w:p>
    <w:p>
      <w:pPr>
        <w:pStyle w:val="Normal"/>
        <w:ind w:left="706" w:hanging="0"/>
        <w:jc w:val="both"/>
        <w:rPr>
          <w:rFonts w:ascii="Trebuchet MS" w:hAnsi="Trebuchet MS" w:cs="Trebuchet MS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2016 ve 2017 ÖSYS’de en düşük </w:t>
      </w: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240 000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’inci </w:t>
      </w:r>
    </w:p>
    <w:p>
      <w:pPr>
        <w:pStyle w:val="Normal"/>
        <w:ind w:left="706" w:hanging="0"/>
        <w:jc w:val="both"/>
        <w:rPr/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2018, 2019, 2020 YKS’de en düşük </w:t>
      </w: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300 000’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inci </w:t>
      </w:r>
    </w:p>
    <w:p>
      <w:pPr>
        <w:pStyle w:val="Normal"/>
        <w:tabs>
          <w:tab w:val="clear" w:pos="708"/>
          <w:tab w:val="left" w:pos="360" w:leader="none"/>
        </w:tabs>
        <w:spacing w:before="20" w:after="0"/>
        <w:jc w:val="both"/>
        <w:rPr>
          <w:rFonts w:ascii="Trebuchet MS" w:hAnsi="Trebuchet MS" w:cs="Trebuchet MS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ab/>
        <w:t>Öğretmenlik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 (Rehberlik ve Psikolojik Danışmanlık dahil) programları için </w:t>
      </w:r>
    </w:p>
    <w:p>
      <w:pPr>
        <w:pStyle w:val="Normal"/>
        <w:ind w:left="706" w:hanging="0"/>
        <w:jc w:val="both"/>
        <w:rPr>
          <w:rFonts w:ascii="Trebuchet MS" w:hAnsi="Trebuchet MS" w:cs="Trebuchet MS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2017 ÖSYS’de en düşük </w:t>
      </w: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240 000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’inci </w:t>
      </w:r>
    </w:p>
    <w:p>
      <w:pPr>
        <w:pStyle w:val="Normal"/>
        <w:ind w:left="706" w:hanging="0"/>
        <w:jc w:val="both"/>
        <w:rPr>
          <w:rFonts w:ascii="Trebuchet MS" w:hAnsi="Trebuchet MS" w:cs="Trebuchet MS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2018, 2019, 2020 YKS’de en düşük </w:t>
      </w: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300 000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’inci </w:t>
      </w:r>
    </w:p>
    <w:p>
      <w:pPr>
        <w:pStyle w:val="Normal"/>
        <w:spacing w:before="40" w:after="0"/>
        <w:ind w:left="288" w:firstLine="72"/>
        <w:jc w:val="both"/>
        <w:rPr>
          <w:rFonts w:ascii="Trebuchet MS" w:hAnsi="Trebuchet MS" w:cs="Arial"/>
          <w:color w:val="002060"/>
          <w:sz w:val="22"/>
          <w:szCs w:val="22"/>
          <w:lang w:val="en-TR" w:eastAsia="en-TR"/>
        </w:rPr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>sırada olan adaylar başvurabilir.</w:t>
      </w:r>
    </w:p>
    <w:p>
      <w:pPr>
        <w:pStyle w:val="Normal"/>
        <w:spacing w:before="60" w:after="0"/>
        <w:jc w:val="both"/>
        <w:rPr>
          <w:rFonts w:ascii="Trebuchet MS" w:hAnsi="Trebuchet MS" w:cs="Arial"/>
          <w:b/>
          <w:b/>
          <w:color w:val="002060"/>
          <w:sz w:val="22"/>
          <w:szCs w:val="22"/>
          <w:lang w:val="en-TR" w:eastAsia="en-TR"/>
        </w:rPr>
      </w:pPr>
      <w:r>
        <w:rPr>
          <w:rFonts w:cs="Arial" w:ascii="Trebuchet MS" w:hAnsi="Trebuchet MS"/>
          <w:b/>
          <w:color w:val="002060"/>
          <w:sz w:val="22"/>
          <w:szCs w:val="22"/>
          <w:lang w:val="en-TR" w:eastAsia="en-TR"/>
        </w:rPr>
        <w:t>Öğretim Süresi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2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Yatay geçiş öncesinde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yabancı dil hazırlık sınıfı dışında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 geçirilen süre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öğretim süresine dahil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dir. </w:t>
      </w:r>
    </w:p>
    <w:p>
      <w:pPr>
        <w:pStyle w:val="Normal"/>
        <w:spacing w:before="6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Arial" w:ascii="Trebuchet MS" w:hAnsi="Trebuchet MS"/>
          <w:b/>
          <w:color w:val="002060"/>
          <w:sz w:val="22"/>
          <w:szCs w:val="22"/>
          <w:lang w:val="en-TR" w:eastAsia="en-TR"/>
        </w:rPr>
        <w:t>Özel Yetenek Gerektiren Programlara Geçiş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2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Özel Yetenek Sınavı sonuçlarına göre öğrenci alan lisans programlarına kurumiçi yatay geçişlerde adayların diğer koşulların yanı sıra yapılacak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yetenek sınavı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na girmiş olmaları gerekir. </w:t>
      </w:r>
    </w:p>
    <w:p>
      <w:pPr>
        <w:pStyle w:val="Normal"/>
        <w:spacing w:before="6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Arial" w:ascii="Trebuchet MS" w:hAnsi="Trebuchet MS"/>
          <w:b/>
          <w:color w:val="002060"/>
          <w:sz w:val="22"/>
          <w:szCs w:val="22"/>
          <w:lang w:val="en-TR" w:eastAsia="en-TR"/>
        </w:rPr>
        <w:t>Bursun Devamı</w:t>
      </w:r>
      <w:r>
        <w:rPr>
          <w:color w:val="002060"/>
          <w:sz w:val="20"/>
          <w:szCs w:val="20"/>
          <w:lang w:val="en-TR" w:eastAsia="en-TR"/>
        </w:rPr>
        <w:t> 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2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Yeditepe Üniversitesine yerleştirildiği yılın Öğrenci Seçme ve Yerleştirme Sınavı Kılavuzlarında "Burslu" öğrenci alınacağı belirtilen lisans/önlisans programlarına kayıtlı olup bursu devam eden öğrencilerin burslarının devamı konusu başarı durumuna göre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Mütevelli Heyet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 tarafından değerlendirilir.  </w:t>
      </w:r>
    </w:p>
    <w:p>
      <w:pPr>
        <w:pStyle w:val="Normal"/>
        <w:spacing w:before="6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Arial" w:ascii="Trebuchet MS" w:hAnsi="Trebuchet MS"/>
          <w:b/>
          <w:bCs/>
          <w:color w:val="002060"/>
          <w:sz w:val="22"/>
          <w:szCs w:val="22"/>
          <w:lang w:val="en-TR" w:eastAsia="en-TR"/>
        </w:rPr>
        <w:t xml:space="preserve">Başvuru Koşulları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2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İlgili öğretim yılına ait üniversitenin internet sayfasında ilan edilen yatay geçiş kontenjanlarına başvurular, Yeditepe Üniversitesi Kurumiçi Yatay Geçiş Başvuru Formuyla,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19 Ocak 2022</w:t>
      </w:r>
      <w:r>
        <w:rPr>
          <w:rFonts w:cs="Trebuchet MS" w:ascii="Trebuchet MS" w:hAnsi="Trebuchet MS"/>
          <w:color w:val="002060"/>
          <w:sz w:val="22"/>
          <w:szCs w:val="22"/>
          <w:lang w:val="en-TR" w:eastAsia="en-TR"/>
        </w:rPr>
        <w:t xml:space="preserve">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Çarşamba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 xml:space="preserve"> 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>günü mesai saati bitimine kadar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 xml:space="preserve"> 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Öğrenci İşleri Müdürlüğüne yapılır.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2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Kurumiçi yatay geçiş yapacak öğrencilerin, Yabancı Dil Hazırlık Sınıfı hariç, kayıtlı bulundukları programın yarıyıl sistemine göre eğitim yapması halinde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lisans programları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nda en az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iki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yarıyıl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,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>önlisans programları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>nda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 xml:space="preserve"> 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>en az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 xml:space="preserve"> bir yarıyıl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; yıl sistemine göre eğitim yapması halinde en az </w:t>
      </w:r>
      <w:r>
        <w:rPr>
          <w:rFonts w:cs="Arial" w:ascii="Trebuchet MS" w:hAnsi="Trebuchet MS"/>
          <w:b/>
          <w:color w:val="002060"/>
          <w:sz w:val="20"/>
          <w:szCs w:val="20"/>
          <w:lang w:val="en-TR" w:eastAsia="en-TR"/>
        </w:rPr>
        <w:t xml:space="preserve">bir yıl derslere devam </w:t>
      </w: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etmiş olmaları gerekir. 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2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Kayıt dondurmuş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 (geçici ayrılma hakkından yararlanmış) </w:t>
      </w: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olmak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, yatay geçiş hakkından yararlanmaya </w:t>
      </w: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engel değildir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>.</w:t>
      </w:r>
    </w:p>
    <w:p>
      <w:pPr>
        <w:pStyle w:val="Normal"/>
        <w:spacing w:before="6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Arial" w:ascii="Trebuchet MS" w:hAnsi="Trebuchet MS"/>
          <w:b/>
          <w:color w:val="002060"/>
          <w:sz w:val="22"/>
          <w:szCs w:val="22"/>
          <w:lang w:val="en-TR" w:eastAsia="en-TR"/>
        </w:rPr>
        <w:t>Değerlendirme Öncelikleri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2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Başvuruların kontenjandan </w:t>
      </w:r>
      <w:r>
        <w:rPr>
          <w:rFonts w:cs="Trebuchet MS" w:ascii="Trebuchet MS" w:hAnsi="Trebuchet MS"/>
          <w:b/>
          <w:color w:val="002060"/>
          <w:sz w:val="20"/>
          <w:szCs w:val="20"/>
          <w:lang w:val="en-TR" w:eastAsia="en-TR"/>
        </w:rPr>
        <w:t>fazla olması</w:t>
      </w: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 halinde sıralama, adayların geldikleri programdaki not ortalaması ve halen kayıtlı oldukları programa girerken elde ettikleri giriş puanı dikkate alınarak yapılır.</w:t>
      </w:r>
    </w:p>
    <w:p>
      <w:pPr>
        <w:pStyle w:val="Normal"/>
        <w:spacing w:before="6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2"/>
          <w:szCs w:val="22"/>
          <w:lang w:val="en-TR" w:eastAsia="en-TR"/>
        </w:rPr>
        <w:t>Değerlendirme İşlemleri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2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Arial" w:ascii="Trebuchet MS" w:hAnsi="Trebuchet MS"/>
          <w:color w:val="002060"/>
          <w:sz w:val="20"/>
          <w:szCs w:val="20"/>
          <w:lang w:val="en-TR" w:eastAsia="en-TR"/>
        </w:rPr>
        <w:t xml:space="preserve">Başvuru dosyaları, Öğrenci İşleri Müdürlüğü tarafından ilgili Fakülte Dekanlıklarına gönderilir. Fakülte/Yüksekokul Yönetim Kurulları başvuruları, akademik takvimde belirtilen süre içinde sonuçlandırır ve Öğrenci İşleri Müdürlüğüne bildirir. </w:t>
      </w:r>
    </w:p>
    <w:p>
      <w:pPr>
        <w:pStyle w:val="Normal"/>
        <w:spacing w:before="60" w:after="0"/>
        <w:jc w:val="both"/>
        <w:rPr>
          <w:rFonts w:ascii="Trebuchet MS" w:hAnsi="Trebuchet MS" w:cs="Arial"/>
          <w:color w:val="002060"/>
          <w:sz w:val="20"/>
          <w:szCs w:val="20"/>
          <w:lang w:val="en-TR" w:eastAsia="en-TR"/>
        </w:rPr>
      </w:pPr>
      <w:r>
        <w:rPr>
          <w:rFonts w:cs="Trebuchet MS" w:ascii="Trebuchet MS" w:hAnsi="Trebuchet MS"/>
          <w:b/>
          <w:color w:val="002060"/>
          <w:sz w:val="22"/>
          <w:szCs w:val="22"/>
          <w:lang w:val="en-TR" w:eastAsia="en-TR"/>
        </w:rPr>
        <w:t>Sonuçların Bildirilmesi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20" w:after="0"/>
        <w:jc w:val="both"/>
        <w:rPr/>
      </w:pPr>
      <w:r>
        <w:rPr>
          <w:rFonts w:cs="Trebuchet MS" w:ascii="Trebuchet MS" w:hAnsi="Trebuchet MS"/>
          <w:color w:val="002060"/>
          <w:sz w:val="20"/>
          <w:szCs w:val="20"/>
          <w:lang w:val="en-TR" w:eastAsia="en-TR"/>
        </w:rPr>
        <w:t xml:space="preserve">Her bir lisans/önlisans programına yatay geçiş için başvuran adayların değerlendirme sonuçları, üniversitenin internet sayfasında duyurulur. 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a2"/>
    <w:family w:val="roman"/>
    <w:pitch w:val="variable"/>
  </w:font>
  <w:font w:name="Courier New">
    <w:charset w:val="a2"/>
    <w:family w:val="modern"/>
    <w:pitch w:val="default"/>
  </w:font>
  <w:font w:name="Wingdings">
    <w:charset w:val="02"/>
    <w:family w:val="auto"/>
    <w:pitch w:val="variable"/>
  </w:font>
  <w:font w:name="Trebuchet MS">
    <w:charset w:val="a2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a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sz w:val="20"/>
        <w:b/>
        <w:szCs w:val="20"/>
        <w:rFonts w:ascii="Trebuchet MS" w:hAnsi="Trebuchet MS" w:cs="Arial"/>
        <w:color w:val="00B050"/>
        <w:lang w:val="en-TR" w:eastAsia="en-T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8"/>
      <w:lang w:val="tr-TR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color w:val="000000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color w:val="000000"/>
    </w:rPr>
  </w:style>
  <w:style w:type="character" w:styleId="WW8Num8z1">
    <w:name w:val="WW8Num8z1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>
      <w:b/>
      <w:strike w:val="false"/>
      <w:dstrike w:val="false"/>
      <w:color w:val="00B050"/>
      <w:sz w:val="20"/>
      <w:szCs w:val="20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Trebuchet MS" w:hAnsi="Trebuchet MS" w:cs="Arial"/>
      <w:b/>
      <w:strike w:val="false"/>
      <w:dstrike w:val="false"/>
      <w:color w:val="00B050"/>
      <w:sz w:val="20"/>
      <w:szCs w:val="20"/>
      <w:lang w:val="en-TR" w:eastAsia="en-TR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color w:val="000000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sz w:val="20"/>
      <w:szCs w:val="20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  <w:sz w:val="20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7z0">
    <w:name w:val="WW8Num17z0"/>
    <w:qFormat/>
    <w:rPr/>
  </w:style>
  <w:style w:type="character" w:styleId="WW8Num17z1">
    <w:name w:val="WW8Num17z1"/>
    <w:qFormat/>
    <w:rPr>
      <w:rFonts w:ascii="Courier New" w:hAnsi="Courier New" w:cs="Courier New"/>
      <w:sz w:val="20"/>
    </w:rPr>
  </w:style>
  <w:style w:type="character" w:styleId="WW8Num17z2">
    <w:name w:val="WW8Num17z2"/>
    <w:qFormat/>
    <w:rPr>
      <w:rFonts w:ascii="Wingdings" w:hAnsi="Wingdings" w:cs="Wingdings"/>
      <w:sz w:val="20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sz w:val="20"/>
      <w:szCs w:val="20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sz w:val="22"/>
      <w:szCs w:val="22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/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St2z1">
    <w:name w:val="WW8NumSt2z1"/>
    <w:qFormat/>
    <w:rPr>
      <w:rFonts w:ascii="Courier New" w:hAnsi="Courier New" w:cs="Courier New"/>
      <w:sz w:val="20"/>
    </w:rPr>
  </w:style>
  <w:style w:type="character" w:styleId="WW8NumSt2z2">
    <w:name w:val="WW8NumSt2z2"/>
    <w:qFormat/>
    <w:rPr>
      <w:rFonts w:ascii="Wingdings" w:hAnsi="Wingdings" w:cs="Wingdings"/>
      <w:sz w:val="20"/>
    </w:rPr>
  </w:style>
  <w:style w:type="character" w:styleId="VarsaylanParagrafYazTipi">
    <w:name w:val="Varsayılan Paragraf Yazı Tipi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">
    <w:name w:val="nor"/>
    <w:basedOn w:val="Normal"/>
    <w:qFormat/>
    <w:pPr>
      <w:spacing w:before="280" w:after="280"/>
    </w:pPr>
    <w:rPr>
      <w:szCs w:val="24"/>
    </w:rPr>
  </w:style>
  <w:style w:type="paragraph" w:styleId="BalonMetni">
    <w:name w:val="Balon Metni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LibreOffice/7.2.4.1$MacOSX_X86_64 LibreOffice_project/27d75539669ac387bb498e35313b970b7fe9c4f9</Application>
  <AppVersion>15.0000</AppVersion>
  <Pages>1</Pages>
  <Words>433</Words>
  <Characters>2972</Characters>
  <CharactersWithSpaces>3384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2021-12-23T14:57:00Z</dcterms:created>
  <dc:creator>Yeditepe</dc:creator>
  <dc:description/>
  <cp:keywords> </cp:keywords>
  <dc:language>en-TR</dc:language>
  <cp:lastModifiedBy>Meral Deneri</cp:lastModifiedBy>
  <cp:lastPrinted>2016-05-27T11:21:00Z</cp:lastPrinted>
  <dcterms:modified xsi:type="dcterms:W3CDTF">2021-12-23T14:57:00Z</dcterms:modified>
  <cp:revision>2</cp:revision>
  <dc:subject/>
  <dc:title>An elective course is one that is aimed to implement, diversify and enrich the curricular program of a disciplin</dc:title>
</cp:coreProperties>
</file>